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E2" w:rsidRPr="008D3461" w:rsidRDefault="00E303E7" w:rsidP="00FD0C98">
      <w:pPr>
        <w:pStyle w:val="NoSpacing"/>
        <w:rPr>
          <w:rFonts w:ascii="Verdana" w:hAnsi="Verdana"/>
          <w:b/>
          <w:sz w:val="32"/>
          <w:szCs w:val="32"/>
        </w:rPr>
      </w:pPr>
      <w:r>
        <w:rPr>
          <w:noProof/>
        </w:rPr>
        <w:drawing>
          <wp:anchor distT="0" distB="0" distL="114300" distR="114300" simplePos="0" relativeHeight="251656192" behindDoc="0" locked="0" layoutInCell="1" allowOverlap="1" wp14:anchorId="58BE025B" wp14:editId="0C6D50FA">
            <wp:simplePos x="0" y="0"/>
            <wp:positionH relativeFrom="margin">
              <wp:align>left</wp:align>
            </wp:positionH>
            <wp:positionV relativeFrom="margin">
              <wp:align>top</wp:align>
            </wp:positionV>
            <wp:extent cx="3571875" cy="3555365"/>
            <wp:effectExtent l="19050" t="19050" r="9525" b="2603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584446" cy="35681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85471">
        <w:rPr>
          <w:rFonts w:ascii="Verdana" w:hAnsi="Verdana"/>
          <w:b/>
          <w:sz w:val="28"/>
          <w:szCs w:val="28"/>
        </w:rPr>
        <w:t>Titanium / Kelvar</w:t>
      </w:r>
      <w:r w:rsidR="00F44D33">
        <w:rPr>
          <w:rFonts w:ascii="Verdana" w:hAnsi="Verdana"/>
          <w:b/>
          <w:sz w:val="28"/>
          <w:szCs w:val="28"/>
        </w:rPr>
        <w:t>®</w:t>
      </w:r>
      <w:r w:rsidR="005B6E73">
        <w:rPr>
          <w:rFonts w:ascii="Verdana" w:hAnsi="Verdana"/>
          <w:b/>
          <w:sz w:val="28"/>
          <w:szCs w:val="28"/>
        </w:rPr>
        <w:t xml:space="preserve"> Turbine Fragment Containment Ring</w:t>
      </w:r>
    </w:p>
    <w:p w:rsidR="00B94811" w:rsidRDefault="00E303E7" w:rsidP="00FD0C98">
      <w:pPr>
        <w:pStyle w:val="NoSpacing"/>
        <w:jc w:val="both"/>
        <w:rPr>
          <w:rFonts w:ascii="Verdana" w:hAnsi="Verdana"/>
          <w:i/>
          <w:sz w:val="20"/>
          <w:szCs w:val="20"/>
        </w:rPr>
      </w:pPr>
      <w:r>
        <w:rPr>
          <w:rFonts w:ascii="Verdana" w:hAnsi="Verdana"/>
          <w:i/>
          <w:sz w:val="20"/>
          <w:szCs w:val="20"/>
        </w:rPr>
        <w:t xml:space="preserve">Pepin Associates, Inc. has developed a </w:t>
      </w:r>
      <w:r w:rsidR="005B6E73">
        <w:rPr>
          <w:rFonts w:ascii="Verdana" w:hAnsi="Verdana"/>
          <w:i/>
          <w:sz w:val="20"/>
          <w:szCs w:val="20"/>
        </w:rPr>
        <w:t>containment ring for protecting aircraft or rotorcraft from catastrophic engine failure due to fragment projectiles entering or exiting the engine rotor.</w:t>
      </w:r>
      <w:r>
        <w:rPr>
          <w:rFonts w:ascii="Verdana" w:hAnsi="Verdana"/>
          <w:i/>
          <w:sz w:val="20"/>
          <w:szCs w:val="20"/>
        </w:rPr>
        <w:t xml:space="preserve">   </w:t>
      </w:r>
      <w:r w:rsidR="005B6E73">
        <w:rPr>
          <w:rFonts w:ascii="Verdana" w:hAnsi="Verdana"/>
          <w:i/>
          <w:sz w:val="20"/>
          <w:szCs w:val="20"/>
        </w:rPr>
        <w:t>The containment ring prevents collapse of the engine housing onto the spinning rotors, which would destroy the rotor and create many more projectiles.</w:t>
      </w:r>
    </w:p>
    <w:p w:rsidR="001E541F" w:rsidRDefault="001E541F" w:rsidP="00FD0C98">
      <w:pPr>
        <w:pStyle w:val="NoSpacing"/>
        <w:jc w:val="both"/>
        <w:rPr>
          <w:rFonts w:ascii="Verdana" w:hAnsi="Verdana"/>
          <w:sz w:val="20"/>
          <w:szCs w:val="20"/>
        </w:rPr>
      </w:pPr>
    </w:p>
    <w:p w:rsidR="001E541F" w:rsidRPr="008D3461" w:rsidRDefault="008D3461" w:rsidP="00FD0C98">
      <w:pPr>
        <w:pStyle w:val="NoSpacing"/>
        <w:jc w:val="both"/>
        <w:rPr>
          <w:rFonts w:ascii="Verdana" w:hAnsi="Verdana"/>
          <w:b/>
          <w:sz w:val="20"/>
          <w:szCs w:val="20"/>
        </w:rPr>
      </w:pPr>
      <w:r>
        <w:rPr>
          <w:rFonts w:ascii="Verdana" w:hAnsi="Verdana"/>
          <w:b/>
          <w:sz w:val="20"/>
          <w:szCs w:val="20"/>
        </w:rPr>
        <w:t>PANEL CONFIGURATION</w:t>
      </w:r>
    </w:p>
    <w:p w:rsidR="0087421C" w:rsidRPr="0087421C" w:rsidRDefault="00F44D33" w:rsidP="00FD0C98">
      <w:pPr>
        <w:pStyle w:val="NoSpacing"/>
        <w:jc w:val="both"/>
        <w:rPr>
          <w:rFonts w:ascii="Verdana" w:hAnsi="Verdana"/>
          <w:sz w:val="20"/>
          <w:szCs w:val="20"/>
        </w:rPr>
      </w:pPr>
      <w:bookmarkStart w:id="0" w:name="_GoBack"/>
      <w:r>
        <w:rPr>
          <w:rFonts w:ascii="Verdana" w:hAnsi="Verdana"/>
          <w:noProof/>
          <w:sz w:val="20"/>
          <w:szCs w:val="20"/>
        </w:rPr>
        <w:drawing>
          <wp:anchor distT="0" distB="0" distL="114300" distR="114300" simplePos="0" relativeHeight="251657216" behindDoc="0" locked="0" layoutInCell="1" allowOverlap="1" wp14:anchorId="07D05016" wp14:editId="5D9D1370">
            <wp:simplePos x="0" y="0"/>
            <wp:positionH relativeFrom="column">
              <wp:posOffset>74930</wp:posOffset>
            </wp:positionH>
            <wp:positionV relativeFrom="paragraph">
              <wp:posOffset>1167130</wp:posOffset>
            </wp:positionV>
            <wp:extent cx="3086735" cy="2314575"/>
            <wp:effectExtent l="19050" t="19050" r="18415" b="28575"/>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86735" cy="23145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End w:id="0"/>
      <w:r w:rsidR="00A66824" w:rsidRPr="0087421C">
        <w:rPr>
          <w:rFonts w:ascii="Verdana" w:hAnsi="Verdana"/>
          <w:sz w:val="20"/>
          <w:szCs w:val="20"/>
        </w:rPr>
        <w:t xml:space="preserve">Pepin Associates </w:t>
      </w:r>
      <w:r w:rsidR="00447454">
        <w:rPr>
          <w:rFonts w:ascii="Verdana" w:hAnsi="Verdana"/>
          <w:sz w:val="20"/>
          <w:szCs w:val="20"/>
        </w:rPr>
        <w:t xml:space="preserve">has developed a method of constructing a titanium shell on either side of a dry Kevlar fabric layup, with titanium rods penetrating the full-thickness of the structure.  The </w:t>
      </w:r>
      <w:r w:rsidR="00D067A2">
        <w:rPr>
          <w:rFonts w:ascii="Verdana" w:hAnsi="Verdana"/>
          <w:sz w:val="20"/>
          <w:szCs w:val="20"/>
        </w:rPr>
        <w:t>lay-up</w:t>
      </w:r>
      <w:r w:rsidR="00447454">
        <w:rPr>
          <w:rFonts w:ascii="Verdana" w:hAnsi="Verdana"/>
          <w:sz w:val="20"/>
          <w:szCs w:val="20"/>
        </w:rPr>
        <w:t xml:space="preserve"> uses </w:t>
      </w:r>
      <w:r w:rsidR="00E303E7">
        <w:rPr>
          <w:rFonts w:ascii="Verdana" w:hAnsi="Verdana"/>
          <w:sz w:val="20"/>
          <w:szCs w:val="20"/>
        </w:rPr>
        <w:t xml:space="preserve">6/4 titanium sheets, </w:t>
      </w:r>
      <w:r>
        <w:rPr>
          <w:rFonts w:ascii="Verdana" w:hAnsi="Verdana"/>
          <w:sz w:val="20"/>
          <w:szCs w:val="20"/>
        </w:rPr>
        <w:t>0.056 inch diameter titanium pins,</w:t>
      </w:r>
      <w:r w:rsidR="00447454">
        <w:rPr>
          <w:rFonts w:ascii="Verdana" w:hAnsi="Verdana"/>
          <w:sz w:val="20"/>
          <w:szCs w:val="20"/>
        </w:rPr>
        <w:t xml:space="preserve"> and Kevlar 37</w:t>
      </w:r>
      <w:r>
        <w:rPr>
          <w:rFonts w:ascii="Verdana" w:hAnsi="Verdana"/>
          <w:sz w:val="20"/>
          <w:szCs w:val="20"/>
        </w:rPr>
        <w:t xml:space="preserve">.  The titanium rods are laser-welded to the </w:t>
      </w:r>
      <w:r w:rsidR="00447454">
        <w:rPr>
          <w:rFonts w:ascii="Verdana" w:hAnsi="Verdana"/>
          <w:sz w:val="20"/>
          <w:szCs w:val="20"/>
        </w:rPr>
        <w:t xml:space="preserve">inner and outer faces of the ring.  </w:t>
      </w:r>
      <w:r>
        <w:rPr>
          <w:rFonts w:ascii="Verdana" w:hAnsi="Verdana"/>
          <w:sz w:val="20"/>
          <w:szCs w:val="20"/>
        </w:rPr>
        <w:t>Placed at 45-degree angles in opposing directions per row and filling a 0.5 inch grid pattern, the rods create stru</w:t>
      </w:r>
      <w:r w:rsidR="00447454">
        <w:rPr>
          <w:rFonts w:ascii="Verdana" w:hAnsi="Verdana"/>
          <w:sz w:val="20"/>
          <w:szCs w:val="20"/>
        </w:rPr>
        <w:t xml:space="preserve">ctural integrity for the panel.  </w:t>
      </w:r>
      <w:r>
        <w:rPr>
          <w:rFonts w:ascii="Verdana" w:hAnsi="Verdana"/>
          <w:sz w:val="20"/>
          <w:szCs w:val="20"/>
        </w:rPr>
        <w:t xml:space="preserve">  </w:t>
      </w:r>
    </w:p>
    <w:p w:rsidR="0087421C" w:rsidRPr="0087421C" w:rsidRDefault="0087421C" w:rsidP="00FD0C98">
      <w:pPr>
        <w:pStyle w:val="NoSpacing"/>
        <w:jc w:val="both"/>
        <w:rPr>
          <w:rFonts w:ascii="Verdana" w:hAnsi="Verdana"/>
          <w:sz w:val="20"/>
          <w:szCs w:val="20"/>
        </w:rPr>
      </w:pPr>
    </w:p>
    <w:p w:rsidR="00EA3AC0" w:rsidRDefault="00D067A2" w:rsidP="00FD0C98">
      <w:pPr>
        <w:pStyle w:val="NoSpacing"/>
        <w:jc w:val="both"/>
        <w:rPr>
          <w:rFonts w:ascii="Verdana" w:hAnsi="Verdana"/>
          <w:b/>
          <w:sz w:val="20"/>
          <w:szCs w:val="20"/>
        </w:rPr>
      </w:pPr>
      <w:r>
        <w:rPr>
          <w:rFonts w:ascii="Verdana" w:hAnsi="Verdana"/>
          <w:b/>
          <w:sz w:val="20"/>
          <w:szCs w:val="20"/>
        </w:rPr>
        <w:t>MATERIAL SYNERGY</w:t>
      </w:r>
    </w:p>
    <w:p w:rsidR="00D44002" w:rsidRDefault="005B6E73" w:rsidP="00FD0C98">
      <w:pPr>
        <w:pStyle w:val="NoSpacing"/>
        <w:jc w:val="both"/>
        <w:rPr>
          <w:rFonts w:ascii="Verdana" w:hAnsi="Verdana"/>
          <w:noProof/>
          <w:sz w:val="20"/>
          <w:szCs w:val="20"/>
        </w:rPr>
      </w:pPr>
      <w:r>
        <w:rPr>
          <w:rFonts w:ascii="Verdana" w:hAnsi="Verdana"/>
          <w:b/>
          <w:noProof/>
          <w:sz w:val="20"/>
          <w:szCs w:val="20"/>
        </w:rPr>
        <w:drawing>
          <wp:anchor distT="0" distB="0" distL="114300" distR="114300" simplePos="0" relativeHeight="251659264" behindDoc="0" locked="0" layoutInCell="1" allowOverlap="1" wp14:anchorId="245D64DF" wp14:editId="2DF39747">
            <wp:simplePos x="0" y="0"/>
            <wp:positionH relativeFrom="column">
              <wp:posOffset>-523875</wp:posOffset>
            </wp:positionH>
            <wp:positionV relativeFrom="paragraph">
              <wp:posOffset>1279525</wp:posOffset>
            </wp:positionV>
            <wp:extent cx="3142615" cy="1765300"/>
            <wp:effectExtent l="21908" t="16192" r="22542" b="22543"/>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rot="5400000">
                      <a:off x="0" y="0"/>
                      <a:ext cx="3142615" cy="1765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067A2">
        <w:rPr>
          <w:rFonts w:ascii="Verdana" w:hAnsi="Verdana"/>
          <w:noProof/>
          <w:sz w:val="20"/>
          <w:szCs w:val="20"/>
        </w:rPr>
        <w:t>Tests have shown some synergy between the two materials.  For example, the many rods absorb energy by bending and pulling out of the facesheet joints during fragment impact.  Also, the fabric can increase the strength and stiffnessof the panel by supporting the rods laterally thereby delaying buckling of the rods when the panel is loaded in flexure.  The hybrid panel also has high toughness when tested statically since, as the rod joints fail, other joints pick up the loading so the structure is very damage tolerant.</w:t>
      </w:r>
      <w:r w:rsidR="00D02BB8">
        <w:rPr>
          <w:rFonts w:ascii="Verdana" w:hAnsi="Verdana"/>
          <w:noProof/>
          <w:sz w:val="20"/>
          <w:szCs w:val="20"/>
        </w:rPr>
        <w:t xml:space="preserve">  </w:t>
      </w:r>
    </w:p>
    <w:p w:rsidR="00D44002" w:rsidRDefault="00D44002" w:rsidP="00FD0C98">
      <w:pPr>
        <w:pStyle w:val="NoSpacing"/>
        <w:jc w:val="both"/>
        <w:rPr>
          <w:rFonts w:ascii="Verdana" w:hAnsi="Verdana"/>
          <w:noProof/>
          <w:sz w:val="20"/>
          <w:szCs w:val="20"/>
        </w:rPr>
      </w:pPr>
    </w:p>
    <w:p w:rsidR="00D02BB8" w:rsidRDefault="00D067A2" w:rsidP="00DF139A">
      <w:pPr>
        <w:pStyle w:val="NoSpacing"/>
        <w:jc w:val="both"/>
        <w:rPr>
          <w:rFonts w:ascii="Verdana" w:hAnsi="Verdana"/>
          <w:b/>
          <w:noProof/>
          <w:sz w:val="20"/>
          <w:szCs w:val="20"/>
        </w:rPr>
      </w:pPr>
      <w:r>
        <w:rPr>
          <w:rFonts w:ascii="Verdana" w:hAnsi="Verdana"/>
          <w:b/>
          <w:noProof/>
          <w:sz w:val="20"/>
          <w:szCs w:val="20"/>
        </w:rPr>
        <w:t>WEIGHT</w:t>
      </w:r>
    </w:p>
    <w:p w:rsidR="00BB2650" w:rsidRDefault="00D02BB8" w:rsidP="00DF139A">
      <w:pPr>
        <w:pStyle w:val="NoSpacing"/>
        <w:jc w:val="both"/>
        <w:rPr>
          <w:rFonts w:ascii="Verdana" w:hAnsi="Verdana"/>
          <w:noProof/>
          <w:sz w:val="20"/>
          <w:szCs w:val="20"/>
        </w:rPr>
      </w:pPr>
      <w:r>
        <w:rPr>
          <w:rFonts w:ascii="Verdana" w:hAnsi="Verdana"/>
          <w:noProof/>
          <w:sz w:val="20"/>
          <w:szCs w:val="20"/>
        </w:rPr>
        <w:t xml:space="preserve">The sample panel </w:t>
      </w:r>
      <w:r w:rsidR="00D067A2">
        <w:rPr>
          <w:rFonts w:ascii="Verdana" w:hAnsi="Verdana"/>
          <w:noProof/>
          <w:sz w:val="20"/>
          <w:szCs w:val="20"/>
        </w:rPr>
        <w:t>measuring 6.</w:t>
      </w:r>
      <w:r>
        <w:rPr>
          <w:rFonts w:ascii="Verdana" w:hAnsi="Verdana"/>
          <w:noProof/>
          <w:sz w:val="20"/>
          <w:szCs w:val="20"/>
        </w:rPr>
        <w:t xml:space="preserve">5” x 4.5” x 1.0” weighs </w:t>
      </w:r>
      <w:r w:rsidR="00922426">
        <w:rPr>
          <w:rFonts w:ascii="Verdana" w:hAnsi="Verdana"/>
          <w:noProof/>
          <w:sz w:val="20"/>
          <w:szCs w:val="20"/>
        </w:rPr>
        <w:t xml:space="preserve">0.7 lbs, which converts to 3.446 lbs./square foot.  </w:t>
      </w:r>
      <w:r w:rsidR="00D067A2">
        <w:rPr>
          <w:rFonts w:ascii="Verdana" w:hAnsi="Verdana"/>
          <w:noProof/>
          <w:sz w:val="20"/>
          <w:szCs w:val="20"/>
        </w:rPr>
        <w:t xml:space="preserve">Actual weight of a given containment ring would vary with actual material quantities specified.  </w:t>
      </w:r>
      <w:r w:rsidR="00922426">
        <w:rPr>
          <w:rFonts w:ascii="Verdana" w:hAnsi="Verdana"/>
          <w:noProof/>
          <w:sz w:val="20"/>
          <w:szCs w:val="20"/>
        </w:rPr>
        <w:t xml:space="preserve">  </w:t>
      </w:r>
    </w:p>
    <w:p w:rsidR="00922426" w:rsidRDefault="00922426" w:rsidP="00DF139A">
      <w:pPr>
        <w:pStyle w:val="NoSpacing"/>
        <w:jc w:val="both"/>
        <w:rPr>
          <w:rFonts w:ascii="Verdana" w:hAnsi="Verdana"/>
          <w:noProof/>
          <w:sz w:val="20"/>
          <w:szCs w:val="20"/>
        </w:rPr>
      </w:pPr>
    </w:p>
    <w:p w:rsidR="00922426" w:rsidRDefault="00D067A2" w:rsidP="00DF139A">
      <w:pPr>
        <w:pStyle w:val="NoSpacing"/>
        <w:jc w:val="both"/>
        <w:rPr>
          <w:rFonts w:ascii="Verdana" w:hAnsi="Verdana"/>
          <w:b/>
          <w:noProof/>
          <w:sz w:val="20"/>
          <w:szCs w:val="20"/>
        </w:rPr>
      </w:pPr>
      <w:r>
        <w:rPr>
          <w:rFonts w:ascii="Verdana" w:hAnsi="Verdana"/>
          <w:b/>
          <w:noProof/>
          <w:sz w:val="20"/>
          <w:szCs w:val="20"/>
        </w:rPr>
        <w:t>APPLICATIONS</w:t>
      </w:r>
    </w:p>
    <w:p w:rsidR="00D067A2" w:rsidRDefault="00922426" w:rsidP="00DF139A">
      <w:pPr>
        <w:pStyle w:val="NoSpacing"/>
        <w:jc w:val="both"/>
        <w:rPr>
          <w:rFonts w:ascii="Verdana" w:hAnsi="Verdana"/>
          <w:noProof/>
          <w:sz w:val="20"/>
          <w:szCs w:val="20"/>
        </w:rPr>
      </w:pPr>
      <w:r>
        <w:rPr>
          <w:rFonts w:ascii="Verdana" w:hAnsi="Verdana"/>
          <w:noProof/>
          <w:sz w:val="20"/>
          <w:szCs w:val="20"/>
        </w:rPr>
        <w:t xml:space="preserve">This </w:t>
      </w:r>
      <w:r w:rsidR="00D067A2">
        <w:rPr>
          <w:rFonts w:ascii="Verdana" w:hAnsi="Verdana"/>
          <w:noProof/>
          <w:sz w:val="20"/>
          <w:szCs w:val="20"/>
        </w:rPr>
        <w:t xml:space="preserve">containment ring has applications for both aircraft and rotorcraft which use rotor engines.  </w:t>
      </w:r>
    </w:p>
    <w:p w:rsidR="00D067A2" w:rsidRDefault="00D067A2" w:rsidP="00DF139A">
      <w:pPr>
        <w:pStyle w:val="NoSpacing"/>
        <w:jc w:val="both"/>
        <w:rPr>
          <w:rFonts w:ascii="Verdana" w:hAnsi="Verdana"/>
          <w:noProof/>
          <w:sz w:val="20"/>
          <w:szCs w:val="20"/>
        </w:rPr>
      </w:pPr>
    </w:p>
    <w:p w:rsidR="00D067A2" w:rsidRDefault="00D067A2" w:rsidP="00DF139A">
      <w:pPr>
        <w:pStyle w:val="NoSpacing"/>
        <w:jc w:val="both"/>
        <w:rPr>
          <w:rFonts w:ascii="Verdana" w:hAnsi="Verdana"/>
          <w:b/>
          <w:noProof/>
          <w:sz w:val="20"/>
          <w:szCs w:val="20"/>
        </w:rPr>
      </w:pPr>
      <w:r>
        <w:rPr>
          <w:rFonts w:ascii="Verdana" w:hAnsi="Verdana"/>
          <w:b/>
          <w:noProof/>
          <w:sz w:val="20"/>
          <w:szCs w:val="20"/>
        </w:rPr>
        <w:t>REFERENCES</w:t>
      </w:r>
    </w:p>
    <w:p w:rsidR="00D067A2" w:rsidRDefault="00D067A2" w:rsidP="00DF139A">
      <w:pPr>
        <w:pStyle w:val="NoSpacing"/>
        <w:jc w:val="both"/>
        <w:rPr>
          <w:rFonts w:ascii="Verdana" w:hAnsi="Verdana"/>
          <w:b/>
          <w:noProof/>
          <w:sz w:val="20"/>
          <w:szCs w:val="20"/>
        </w:rPr>
      </w:pPr>
    </w:p>
    <w:p w:rsidR="00922426" w:rsidRPr="00D067A2" w:rsidRDefault="00D067A2" w:rsidP="00DF139A">
      <w:pPr>
        <w:pStyle w:val="NoSpacing"/>
        <w:jc w:val="both"/>
        <w:rPr>
          <w:rFonts w:ascii="Verdana" w:hAnsi="Verdana"/>
          <w:noProof/>
          <w:sz w:val="20"/>
          <w:szCs w:val="20"/>
        </w:rPr>
      </w:pPr>
      <w:r w:rsidRPr="00D067A2">
        <w:rPr>
          <w:rFonts w:ascii="Verdana" w:hAnsi="Verdana"/>
          <w:noProof/>
          <w:sz w:val="20"/>
          <w:szCs w:val="20"/>
        </w:rPr>
        <w:t>AIAA paper #93-1816, Final Report DOT/FAA/AR-98/22.</w:t>
      </w:r>
      <w:r w:rsidR="00922426" w:rsidRPr="00D067A2">
        <w:rPr>
          <w:rFonts w:ascii="Verdana" w:hAnsi="Verdana"/>
          <w:noProof/>
          <w:sz w:val="20"/>
          <w:szCs w:val="20"/>
        </w:rPr>
        <w:t xml:space="preserve">  </w:t>
      </w:r>
    </w:p>
    <w:sectPr w:rsidR="00922426" w:rsidRPr="00D067A2" w:rsidSect="009426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9A"/>
    <w:rsid w:val="00005C09"/>
    <w:rsid w:val="000617FE"/>
    <w:rsid w:val="001401E3"/>
    <w:rsid w:val="00146723"/>
    <w:rsid w:val="00150EDE"/>
    <w:rsid w:val="001E541F"/>
    <w:rsid w:val="003B0AD9"/>
    <w:rsid w:val="00447454"/>
    <w:rsid w:val="00472430"/>
    <w:rsid w:val="004A04E6"/>
    <w:rsid w:val="004F36E2"/>
    <w:rsid w:val="00584F1E"/>
    <w:rsid w:val="005B6E73"/>
    <w:rsid w:val="006255A8"/>
    <w:rsid w:val="00661F5A"/>
    <w:rsid w:val="00757B0E"/>
    <w:rsid w:val="00802281"/>
    <w:rsid w:val="008059C8"/>
    <w:rsid w:val="00845F30"/>
    <w:rsid w:val="0087421C"/>
    <w:rsid w:val="008B12C1"/>
    <w:rsid w:val="008D3461"/>
    <w:rsid w:val="00922426"/>
    <w:rsid w:val="00942610"/>
    <w:rsid w:val="009A6C9A"/>
    <w:rsid w:val="009E04DE"/>
    <w:rsid w:val="00A1641B"/>
    <w:rsid w:val="00A34B25"/>
    <w:rsid w:val="00A66824"/>
    <w:rsid w:val="00AF63C1"/>
    <w:rsid w:val="00B16357"/>
    <w:rsid w:val="00B75E68"/>
    <w:rsid w:val="00B85471"/>
    <w:rsid w:val="00B94811"/>
    <w:rsid w:val="00BB2650"/>
    <w:rsid w:val="00BD6D82"/>
    <w:rsid w:val="00C017E6"/>
    <w:rsid w:val="00C44F98"/>
    <w:rsid w:val="00CF194A"/>
    <w:rsid w:val="00D02BB8"/>
    <w:rsid w:val="00D067A2"/>
    <w:rsid w:val="00D44002"/>
    <w:rsid w:val="00DF139A"/>
    <w:rsid w:val="00E303E7"/>
    <w:rsid w:val="00E44071"/>
    <w:rsid w:val="00EA3AC0"/>
    <w:rsid w:val="00F25383"/>
    <w:rsid w:val="00F438E8"/>
    <w:rsid w:val="00F44D33"/>
    <w:rsid w:val="00F53113"/>
    <w:rsid w:val="00FD0C98"/>
    <w:rsid w:val="00FD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7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C9A"/>
    <w:rPr>
      <w:sz w:val="22"/>
      <w:szCs w:val="22"/>
    </w:rPr>
  </w:style>
  <w:style w:type="paragraph" w:styleId="BalloonText">
    <w:name w:val="Balloon Text"/>
    <w:basedOn w:val="Normal"/>
    <w:link w:val="BalloonTextChar"/>
    <w:uiPriority w:val="99"/>
    <w:semiHidden/>
    <w:unhideWhenUsed/>
    <w:rsid w:val="009426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610"/>
    <w:rPr>
      <w:rFonts w:ascii="Tahoma" w:hAnsi="Tahoma" w:cs="Tahoma"/>
      <w:sz w:val="16"/>
      <w:szCs w:val="16"/>
    </w:rPr>
  </w:style>
  <w:style w:type="paragraph" w:styleId="NormalWeb">
    <w:name w:val="Normal (Web)"/>
    <w:basedOn w:val="Normal"/>
    <w:uiPriority w:val="99"/>
    <w:semiHidden/>
    <w:unhideWhenUsed/>
    <w:rsid w:val="00A66824"/>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uiPriority w:val="99"/>
    <w:semiHidden/>
    <w:rsid w:val="00D44002"/>
    <w:rPr>
      <w:color w:val="808080"/>
    </w:rPr>
  </w:style>
  <w:style w:type="paragraph" w:styleId="Caption">
    <w:name w:val="caption"/>
    <w:basedOn w:val="Normal"/>
    <w:next w:val="Normal"/>
    <w:uiPriority w:val="35"/>
    <w:unhideWhenUsed/>
    <w:qFormat/>
    <w:rsid w:val="008D3461"/>
    <w:pPr>
      <w:spacing w:line="240" w:lineRule="auto"/>
    </w:pPr>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7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C9A"/>
    <w:rPr>
      <w:sz w:val="22"/>
      <w:szCs w:val="22"/>
    </w:rPr>
  </w:style>
  <w:style w:type="paragraph" w:styleId="BalloonText">
    <w:name w:val="Balloon Text"/>
    <w:basedOn w:val="Normal"/>
    <w:link w:val="BalloonTextChar"/>
    <w:uiPriority w:val="99"/>
    <w:semiHidden/>
    <w:unhideWhenUsed/>
    <w:rsid w:val="009426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610"/>
    <w:rPr>
      <w:rFonts w:ascii="Tahoma" w:hAnsi="Tahoma" w:cs="Tahoma"/>
      <w:sz w:val="16"/>
      <w:szCs w:val="16"/>
    </w:rPr>
  </w:style>
  <w:style w:type="paragraph" w:styleId="NormalWeb">
    <w:name w:val="Normal (Web)"/>
    <w:basedOn w:val="Normal"/>
    <w:uiPriority w:val="99"/>
    <w:semiHidden/>
    <w:unhideWhenUsed/>
    <w:rsid w:val="00A66824"/>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uiPriority w:val="99"/>
    <w:semiHidden/>
    <w:rsid w:val="00D44002"/>
    <w:rPr>
      <w:color w:val="808080"/>
    </w:rPr>
  </w:style>
  <w:style w:type="paragraph" w:styleId="Caption">
    <w:name w:val="caption"/>
    <w:basedOn w:val="Normal"/>
    <w:next w:val="Normal"/>
    <w:uiPriority w:val="35"/>
    <w:unhideWhenUsed/>
    <w:qFormat/>
    <w:rsid w:val="008D3461"/>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Simko</dc:creator>
  <cp:lastModifiedBy>John Simko</cp:lastModifiedBy>
  <cp:revision>5</cp:revision>
  <cp:lastPrinted>2012-10-19T13:59:00Z</cp:lastPrinted>
  <dcterms:created xsi:type="dcterms:W3CDTF">2012-10-19T15:53:00Z</dcterms:created>
  <dcterms:modified xsi:type="dcterms:W3CDTF">2012-10-19T18:55:00Z</dcterms:modified>
</cp:coreProperties>
</file>